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C4B" w:rsidRDefault="008C0DC6" w:rsidP="00300CC6">
      <w:pPr>
        <w:pStyle w:val="Kop1"/>
        <w:spacing w:before="0" w:after="0" w:line="280" w:lineRule="atLeast"/>
        <w:jc w:val="center"/>
        <w:rPr>
          <w:rFonts w:ascii="Palatino Linotype" w:hAnsi="Palatino Linotype"/>
        </w:rPr>
      </w:pPr>
      <w:bookmarkStart w:id="0" w:name="privacy-policy"/>
      <w:r w:rsidRPr="003B330A">
        <w:rPr>
          <w:rFonts w:ascii="Palatino Linotype" w:hAnsi="Palatino Linotype"/>
        </w:rPr>
        <w:t>Privacy Policy</w:t>
      </w:r>
    </w:p>
    <w:p w:rsidR="003B330A" w:rsidRPr="003B330A" w:rsidRDefault="003B330A" w:rsidP="00300CC6">
      <w:pPr>
        <w:pStyle w:val="Plattetekst"/>
        <w:spacing w:before="0" w:after="0" w:line="280" w:lineRule="atLeast"/>
      </w:pPr>
    </w:p>
    <w:p w:rsidR="00CB1C4B" w:rsidRPr="003B330A" w:rsidRDefault="008C0DC6" w:rsidP="00300CC6">
      <w:pPr>
        <w:pStyle w:val="Kop2"/>
        <w:spacing w:before="0" w:after="0" w:line="280" w:lineRule="atLeast"/>
        <w:rPr>
          <w:rFonts w:ascii="Palatino Linotype" w:hAnsi="Palatino Linotype"/>
          <w:sz w:val="28"/>
          <w:szCs w:val="28"/>
        </w:rPr>
      </w:pPr>
      <w:bookmarkStart w:id="1" w:name="introduction"/>
      <w:r w:rsidRPr="003B330A">
        <w:rPr>
          <w:rFonts w:ascii="Palatino Linotype" w:hAnsi="Palatino Linotype"/>
          <w:sz w:val="28"/>
          <w:szCs w:val="28"/>
        </w:rPr>
        <w:t>1. Introduction</w:t>
      </w:r>
    </w:p>
    <w:p w:rsidR="00CB1C4B" w:rsidRPr="003B330A" w:rsidRDefault="008C0DC6" w:rsidP="00175D47">
      <w:pPr>
        <w:pStyle w:val="FirstParagraph"/>
        <w:spacing w:before="0" w:after="0" w:line="280" w:lineRule="atLeast"/>
        <w:jc w:val="both"/>
        <w:rPr>
          <w:rFonts w:ascii="Palatino Linotype" w:hAnsi="Palatino Linotype"/>
          <w:sz w:val="22"/>
          <w:szCs w:val="22"/>
        </w:rPr>
      </w:pPr>
      <w:r w:rsidRPr="003B330A">
        <w:rPr>
          <w:rFonts w:ascii="Palatino Linotype" w:hAnsi="Palatino Linotype"/>
          <w:sz w:val="22"/>
          <w:szCs w:val="22"/>
        </w:rPr>
        <w:t>This Privacy Policy describes how</w:t>
      </w:r>
      <w:r w:rsidR="00D754AC" w:rsidRPr="003B330A">
        <w:rPr>
          <w:rFonts w:ascii="Palatino Linotype" w:hAnsi="Palatino Linotype"/>
          <w:sz w:val="22"/>
          <w:szCs w:val="22"/>
        </w:rPr>
        <w:t xml:space="preserve"> Cleber N.V.</w:t>
      </w:r>
      <w:r w:rsidRPr="003B330A">
        <w:rPr>
          <w:rFonts w:ascii="Palatino Linotype" w:hAnsi="Palatino Linotype"/>
          <w:sz w:val="22"/>
          <w:szCs w:val="22"/>
        </w:rPr>
        <w:t xml:space="preserve"> (</w:t>
      </w:r>
      <w:r w:rsidR="003B330A" w:rsidRPr="003B330A">
        <w:rPr>
          <w:rFonts w:ascii="Palatino Linotype" w:hAnsi="Palatino Linotype"/>
          <w:sz w:val="22"/>
          <w:szCs w:val="22"/>
        </w:rPr>
        <w:t xml:space="preserve">hereinafter also </w:t>
      </w:r>
      <w:r w:rsidRPr="003B330A">
        <w:rPr>
          <w:rFonts w:ascii="Palatino Linotype" w:hAnsi="Palatino Linotype"/>
          <w:sz w:val="22"/>
          <w:szCs w:val="22"/>
        </w:rPr>
        <w:t xml:space="preserve">“we”, “us”, or “our”), a Dutch law firm, processes personal data in accordance with the </w:t>
      </w:r>
      <w:r w:rsidRPr="003B330A">
        <w:rPr>
          <w:rFonts w:ascii="Palatino Linotype" w:hAnsi="Palatino Linotype"/>
          <w:bCs/>
          <w:sz w:val="22"/>
          <w:szCs w:val="22"/>
        </w:rPr>
        <w:t>General Data Protection Regulation (EU) 2016/679 (GDPR)</w:t>
      </w:r>
      <w:r w:rsidRPr="003B330A">
        <w:rPr>
          <w:rFonts w:ascii="Palatino Linotype" w:hAnsi="Palatino Linotype"/>
          <w:sz w:val="22"/>
          <w:szCs w:val="22"/>
        </w:rPr>
        <w:t xml:space="preserve"> and applicable Dutch privacy legislation, including the </w:t>
      </w:r>
      <w:r w:rsidRPr="003B330A">
        <w:rPr>
          <w:rFonts w:ascii="Palatino Linotype" w:hAnsi="Palatino Linotype"/>
          <w:bCs/>
          <w:sz w:val="22"/>
          <w:szCs w:val="22"/>
        </w:rPr>
        <w:t>Uitvoeringswet AVG (UAVG)</w:t>
      </w:r>
      <w:r w:rsidRPr="003B330A">
        <w:rPr>
          <w:rFonts w:ascii="Palatino Linotype" w:hAnsi="Palatino Linotype"/>
          <w:sz w:val="22"/>
          <w:szCs w:val="22"/>
        </w:rPr>
        <w:t>.</w:t>
      </w:r>
    </w:p>
    <w:p w:rsidR="00CB1C4B" w:rsidRPr="003B330A" w:rsidRDefault="008C0DC6" w:rsidP="00175D47">
      <w:pPr>
        <w:pStyle w:val="Plattetekst"/>
        <w:spacing w:before="0" w:after="0" w:line="280" w:lineRule="atLeast"/>
        <w:jc w:val="both"/>
        <w:rPr>
          <w:rFonts w:ascii="Palatino Linotype" w:hAnsi="Palatino Linotype"/>
          <w:sz w:val="22"/>
          <w:szCs w:val="22"/>
        </w:rPr>
      </w:pPr>
      <w:r w:rsidRPr="003B330A">
        <w:rPr>
          <w:rFonts w:ascii="Palatino Linotype" w:hAnsi="Palatino Linotype"/>
          <w:sz w:val="22"/>
          <w:szCs w:val="22"/>
        </w:rPr>
        <w:t>We take the protection of personal data seriously and handle personal data with due care and confidentiality, in particular given our professional duties as attorneys-at-law.</w:t>
      </w:r>
    </w:p>
    <w:p w:rsidR="00300CC6" w:rsidRDefault="00300CC6" w:rsidP="00300CC6">
      <w:pPr>
        <w:pStyle w:val="Kop2"/>
        <w:spacing w:before="0" w:after="0" w:line="280" w:lineRule="atLeast"/>
        <w:rPr>
          <w:rFonts w:ascii="Palatino Linotype" w:hAnsi="Palatino Linotype"/>
          <w:sz w:val="28"/>
          <w:szCs w:val="28"/>
        </w:rPr>
      </w:pPr>
      <w:bookmarkStart w:id="2" w:name="controller"/>
      <w:bookmarkEnd w:id="1"/>
    </w:p>
    <w:p w:rsidR="00CB1C4B" w:rsidRPr="003B330A" w:rsidRDefault="008C0DC6" w:rsidP="00300CC6">
      <w:pPr>
        <w:pStyle w:val="Kop2"/>
        <w:spacing w:before="0" w:after="0" w:line="280" w:lineRule="atLeast"/>
        <w:rPr>
          <w:rFonts w:ascii="Palatino Linotype" w:hAnsi="Palatino Linotype"/>
          <w:sz w:val="28"/>
          <w:szCs w:val="28"/>
        </w:rPr>
      </w:pPr>
      <w:r w:rsidRPr="003B330A">
        <w:rPr>
          <w:rFonts w:ascii="Palatino Linotype" w:hAnsi="Palatino Linotype"/>
          <w:sz w:val="28"/>
          <w:szCs w:val="28"/>
        </w:rPr>
        <w:t>2. Controller</w:t>
      </w:r>
    </w:p>
    <w:p w:rsidR="00250CFA" w:rsidRDefault="008C0DC6" w:rsidP="00300CC6">
      <w:pPr>
        <w:pStyle w:val="FirstParagraph"/>
        <w:spacing w:before="0" w:after="0" w:line="280" w:lineRule="atLeast"/>
        <w:rPr>
          <w:rFonts w:ascii="Palatino Linotype" w:hAnsi="Palatino Linotype"/>
          <w:sz w:val="22"/>
          <w:szCs w:val="22"/>
        </w:rPr>
      </w:pPr>
      <w:proofErr w:type="spellStart"/>
      <w:r w:rsidRPr="003B330A">
        <w:rPr>
          <w:rFonts w:ascii="Palatino Linotype" w:hAnsi="Palatino Linotype"/>
          <w:sz w:val="22"/>
          <w:szCs w:val="22"/>
        </w:rPr>
        <w:t>Cleber</w:t>
      </w:r>
      <w:proofErr w:type="spellEnd"/>
      <w:r w:rsidRPr="003B330A">
        <w:rPr>
          <w:rFonts w:ascii="Palatino Linotype" w:hAnsi="Palatino Linotype"/>
          <w:sz w:val="22"/>
          <w:szCs w:val="22"/>
        </w:rPr>
        <w:t xml:space="preserve"> N.V. </w:t>
      </w:r>
    </w:p>
    <w:p w:rsidR="00250CFA" w:rsidRDefault="008C0DC6" w:rsidP="00300CC6">
      <w:pPr>
        <w:pStyle w:val="FirstParagraph"/>
        <w:spacing w:before="0" w:after="0" w:line="280" w:lineRule="atLeast"/>
        <w:rPr>
          <w:rFonts w:ascii="Palatino Linotype" w:hAnsi="Palatino Linotype"/>
          <w:sz w:val="22"/>
          <w:szCs w:val="22"/>
        </w:rPr>
      </w:pPr>
      <w:proofErr w:type="spellStart"/>
      <w:r w:rsidRPr="003B330A">
        <w:rPr>
          <w:rFonts w:ascii="Palatino Linotype" w:hAnsi="Palatino Linotype"/>
          <w:sz w:val="22"/>
          <w:szCs w:val="22"/>
        </w:rPr>
        <w:t>Herengracht</w:t>
      </w:r>
      <w:proofErr w:type="spellEnd"/>
      <w:r w:rsidRPr="003B330A">
        <w:rPr>
          <w:rFonts w:ascii="Palatino Linotype" w:hAnsi="Palatino Linotype"/>
          <w:sz w:val="22"/>
          <w:szCs w:val="22"/>
        </w:rPr>
        <w:t xml:space="preserve"> 450 </w:t>
      </w:r>
    </w:p>
    <w:p w:rsidR="00250CFA" w:rsidRDefault="008C0DC6" w:rsidP="00300CC6">
      <w:pPr>
        <w:pStyle w:val="FirstParagraph"/>
        <w:spacing w:before="0" w:after="0" w:line="280" w:lineRule="atLeast"/>
        <w:rPr>
          <w:rFonts w:ascii="Palatino Linotype" w:hAnsi="Palatino Linotype"/>
          <w:sz w:val="22"/>
          <w:szCs w:val="22"/>
        </w:rPr>
      </w:pPr>
      <w:r w:rsidRPr="003B330A">
        <w:rPr>
          <w:rFonts w:ascii="Palatino Linotype" w:hAnsi="Palatino Linotype"/>
          <w:sz w:val="22"/>
          <w:szCs w:val="22"/>
        </w:rPr>
        <w:t>(1017 CA) Amsterdam</w:t>
      </w:r>
      <w:r w:rsidR="00300CC6" w:rsidRPr="003B330A">
        <w:rPr>
          <w:rFonts w:ascii="Palatino Linotype" w:hAnsi="Palatino Linotype"/>
          <w:sz w:val="22"/>
          <w:szCs w:val="22"/>
        </w:rPr>
        <w:t xml:space="preserve"> </w:t>
      </w:r>
    </w:p>
    <w:p w:rsidR="00250CFA" w:rsidRDefault="008C0DC6" w:rsidP="00300CC6">
      <w:pPr>
        <w:pStyle w:val="FirstParagraph"/>
        <w:spacing w:before="0" w:after="0" w:line="280" w:lineRule="atLeast"/>
        <w:rPr>
          <w:rFonts w:ascii="Palatino Linotype" w:hAnsi="Palatino Linotype"/>
          <w:sz w:val="22"/>
          <w:szCs w:val="22"/>
        </w:rPr>
      </w:pPr>
      <w:r w:rsidRPr="003B330A">
        <w:rPr>
          <w:rFonts w:ascii="Palatino Linotype" w:hAnsi="Palatino Linotype"/>
          <w:sz w:val="22"/>
          <w:szCs w:val="22"/>
        </w:rPr>
        <w:t>t</w:t>
      </w:r>
      <w:r w:rsidR="00300CC6" w:rsidRPr="003B330A">
        <w:rPr>
          <w:rFonts w:ascii="Palatino Linotype" w:hAnsi="Palatino Linotype"/>
          <w:sz w:val="22"/>
          <w:szCs w:val="22"/>
        </w:rPr>
        <w:t xml:space="preserve">he Netherlands </w:t>
      </w:r>
    </w:p>
    <w:p w:rsidR="00250CFA" w:rsidRDefault="00300CC6" w:rsidP="00300CC6">
      <w:pPr>
        <w:pStyle w:val="FirstParagraph"/>
        <w:spacing w:before="0" w:after="0" w:line="280" w:lineRule="atLeast"/>
        <w:rPr>
          <w:rFonts w:ascii="Palatino Linotype" w:hAnsi="Palatino Linotype"/>
          <w:sz w:val="22"/>
          <w:szCs w:val="22"/>
        </w:rPr>
      </w:pPr>
      <w:r w:rsidRPr="003B330A">
        <w:rPr>
          <w:rFonts w:ascii="Palatino Linotype" w:hAnsi="Palatino Linotype"/>
          <w:sz w:val="22"/>
          <w:szCs w:val="22"/>
        </w:rPr>
        <w:t>Telephone:</w:t>
      </w:r>
      <w:r w:rsidRPr="003B330A">
        <w:rPr>
          <w:rFonts w:ascii="Palatino Linotype" w:hAnsi="Palatino Linotype"/>
        </w:rPr>
        <w:t xml:space="preserve"> </w:t>
      </w:r>
      <w:r w:rsidR="008C0DC6">
        <w:rPr>
          <w:rFonts w:ascii="Palatino Linotype" w:hAnsi="Palatino Linotype"/>
        </w:rPr>
        <w:t>+31</w:t>
      </w:r>
      <w:r w:rsidR="00250CFA">
        <w:rPr>
          <w:rFonts w:ascii="Palatino Linotype" w:hAnsi="Palatino Linotype"/>
        </w:rPr>
        <w:t xml:space="preserve"> (0)</w:t>
      </w:r>
      <w:r w:rsidR="008C0DC6">
        <w:rPr>
          <w:rFonts w:ascii="Palatino Linotype" w:hAnsi="Palatino Linotype"/>
        </w:rPr>
        <w:t>20</w:t>
      </w:r>
      <w:r w:rsidR="00250CFA">
        <w:rPr>
          <w:rFonts w:ascii="Palatino Linotype" w:hAnsi="Palatino Linotype"/>
        </w:rPr>
        <w:t xml:space="preserve"> </w:t>
      </w:r>
      <w:r w:rsidR="008C0DC6">
        <w:rPr>
          <w:rFonts w:ascii="Palatino Linotype" w:hAnsi="Palatino Linotype"/>
        </w:rPr>
        <w:t>305</w:t>
      </w:r>
      <w:r w:rsidR="00250CFA">
        <w:rPr>
          <w:rFonts w:ascii="Palatino Linotype" w:hAnsi="Palatino Linotype"/>
        </w:rPr>
        <w:t xml:space="preserve"> </w:t>
      </w:r>
      <w:r w:rsidR="008C0DC6">
        <w:rPr>
          <w:rFonts w:ascii="Palatino Linotype" w:hAnsi="Palatino Linotype"/>
        </w:rPr>
        <w:t>8888</w:t>
      </w:r>
      <w:r w:rsidRPr="003B330A">
        <w:rPr>
          <w:rFonts w:ascii="Palatino Linotype" w:hAnsi="Palatino Linotype"/>
          <w:sz w:val="22"/>
          <w:szCs w:val="22"/>
        </w:rPr>
        <w:t xml:space="preserve"> </w:t>
      </w:r>
    </w:p>
    <w:p w:rsidR="00CB1C4B" w:rsidRPr="003B330A" w:rsidRDefault="00300CC6" w:rsidP="00300CC6">
      <w:pPr>
        <w:pStyle w:val="FirstParagraph"/>
        <w:spacing w:before="0" w:after="0" w:line="280" w:lineRule="atLeast"/>
        <w:rPr>
          <w:rFonts w:ascii="Palatino Linotype" w:hAnsi="Palatino Linotype"/>
          <w:sz w:val="22"/>
          <w:szCs w:val="22"/>
        </w:rPr>
      </w:pPr>
      <w:r w:rsidRPr="003B330A">
        <w:rPr>
          <w:rFonts w:ascii="Palatino Linotype" w:hAnsi="Palatino Linotype"/>
          <w:sz w:val="22"/>
          <w:szCs w:val="22"/>
        </w:rPr>
        <w:t xml:space="preserve">Email: </w:t>
      </w:r>
      <w:r w:rsidR="008C0DC6">
        <w:rPr>
          <w:rFonts w:ascii="Palatino Linotype" w:hAnsi="Palatino Linotype"/>
          <w:sz w:val="22"/>
          <w:szCs w:val="22"/>
        </w:rPr>
        <w:t>info@cleber.nl</w:t>
      </w:r>
    </w:p>
    <w:p w:rsidR="00CB1C4B" w:rsidRPr="003B330A" w:rsidRDefault="008C0DC6" w:rsidP="00300CC6">
      <w:pPr>
        <w:pStyle w:val="FirstParagraph"/>
        <w:spacing w:before="0" w:after="0" w:line="280" w:lineRule="atLeast"/>
        <w:rPr>
          <w:rFonts w:ascii="Palatino Linotype" w:hAnsi="Palatino Linotype"/>
          <w:sz w:val="22"/>
          <w:szCs w:val="22"/>
        </w:rPr>
      </w:pPr>
      <w:r w:rsidRPr="003B330A">
        <w:rPr>
          <w:rFonts w:ascii="Palatino Linotype" w:hAnsi="Palatino Linotype"/>
          <w:sz w:val="22"/>
          <w:szCs w:val="22"/>
        </w:rPr>
        <w:t>Cleber N.V.</w:t>
      </w:r>
      <w:r w:rsidR="00300CC6" w:rsidRPr="003B330A">
        <w:rPr>
          <w:rFonts w:ascii="Palatino Linotype" w:hAnsi="Palatino Linotype"/>
          <w:sz w:val="22"/>
          <w:szCs w:val="22"/>
        </w:rPr>
        <w:t xml:space="preserve"> is the data controller within the meaning of Article 4(7) GDPR.</w:t>
      </w:r>
    </w:p>
    <w:p w:rsidR="00300CC6" w:rsidRDefault="00300CC6" w:rsidP="00300CC6">
      <w:pPr>
        <w:pStyle w:val="Kop2"/>
        <w:spacing w:before="0" w:after="0" w:line="280" w:lineRule="atLeast"/>
        <w:rPr>
          <w:rFonts w:ascii="Palatino Linotype" w:hAnsi="Palatino Linotype"/>
          <w:sz w:val="28"/>
          <w:szCs w:val="28"/>
        </w:rPr>
      </w:pPr>
      <w:bookmarkStart w:id="3" w:name="personal-data-we-process"/>
      <w:bookmarkEnd w:id="2"/>
    </w:p>
    <w:p w:rsidR="00CB1C4B" w:rsidRPr="003B330A" w:rsidRDefault="008C0DC6" w:rsidP="00300CC6">
      <w:pPr>
        <w:pStyle w:val="Kop2"/>
        <w:spacing w:before="0" w:after="0" w:line="280" w:lineRule="atLeast"/>
        <w:rPr>
          <w:rFonts w:ascii="Palatino Linotype" w:hAnsi="Palatino Linotype"/>
          <w:sz w:val="28"/>
          <w:szCs w:val="28"/>
        </w:rPr>
      </w:pPr>
      <w:r w:rsidRPr="003B330A">
        <w:rPr>
          <w:rFonts w:ascii="Palatino Linotype" w:hAnsi="Palatino Linotype"/>
          <w:sz w:val="28"/>
          <w:szCs w:val="28"/>
        </w:rPr>
        <w:t>3. Personal Data We Process</w:t>
      </w:r>
    </w:p>
    <w:p w:rsidR="00CB1C4B" w:rsidRPr="003B330A" w:rsidRDefault="008C0DC6" w:rsidP="00175D47">
      <w:pPr>
        <w:pStyle w:val="FirstParagraph"/>
        <w:spacing w:before="0" w:after="0" w:line="280" w:lineRule="atLeast"/>
        <w:jc w:val="both"/>
        <w:rPr>
          <w:rFonts w:ascii="Palatino Linotype" w:hAnsi="Palatino Linotype"/>
          <w:sz w:val="22"/>
          <w:szCs w:val="22"/>
        </w:rPr>
      </w:pPr>
      <w:r w:rsidRPr="003B330A">
        <w:rPr>
          <w:rFonts w:ascii="Palatino Linotype" w:hAnsi="Palatino Linotype"/>
          <w:sz w:val="22"/>
          <w:szCs w:val="22"/>
        </w:rPr>
        <w:t>We may process the following categories of personal data: - Identification data (name, title, date of birth); - Contact details (address, email address, telephone number); - Professional information (employer, position); - Financial and billing information; - Case-related information, including sensitive or confidential information; - Correspondence and communication data; - Website usage data (IP address, browser type, log files), if applicable.</w:t>
      </w:r>
    </w:p>
    <w:p w:rsidR="00300CC6" w:rsidRDefault="00300CC6" w:rsidP="00300CC6">
      <w:pPr>
        <w:pStyle w:val="Kop2"/>
        <w:spacing w:before="0" w:after="0" w:line="280" w:lineRule="atLeast"/>
        <w:rPr>
          <w:rFonts w:ascii="Palatino Linotype" w:hAnsi="Palatino Linotype"/>
          <w:sz w:val="28"/>
          <w:szCs w:val="28"/>
        </w:rPr>
      </w:pPr>
      <w:bookmarkStart w:id="4" w:name="special-categories-of-personal-data"/>
      <w:bookmarkEnd w:id="3"/>
    </w:p>
    <w:p w:rsidR="00CB1C4B" w:rsidRPr="003B330A" w:rsidRDefault="008C0DC6" w:rsidP="00300CC6">
      <w:pPr>
        <w:pStyle w:val="Kop2"/>
        <w:spacing w:before="0" w:after="0" w:line="280" w:lineRule="atLeast"/>
        <w:rPr>
          <w:rFonts w:ascii="Palatino Linotype" w:hAnsi="Palatino Linotype"/>
          <w:sz w:val="28"/>
          <w:szCs w:val="28"/>
        </w:rPr>
      </w:pPr>
      <w:r w:rsidRPr="003B330A">
        <w:rPr>
          <w:rFonts w:ascii="Palatino Linotype" w:hAnsi="Palatino Linotype"/>
          <w:sz w:val="28"/>
          <w:szCs w:val="28"/>
        </w:rPr>
        <w:t>4. Special Categories of Personal Data</w:t>
      </w:r>
    </w:p>
    <w:p w:rsidR="00CB1C4B" w:rsidRPr="003B330A" w:rsidRDefault="008C0DC6" w:rsidP="00175D47">
      <w:pPr>
        <w:pStyle w:val="FirstParagraph"/>
        <w:spacing w:before="0" w:after="0" w:line="280" w:lineRule="atLeast"/>
        <w:jc w:val="both"/>
        <w:rPr>
          <w:rFonts w:ascii="Palatino Linotype" w:hAnsi="Palatino Linotype"/>
          <w:sz w:val="22"/>
          <w:szCs w:val="22"/>
        </w:rPr>
      </w:pPr>
      <w:r w:rsidRPr="003B330A">
        <w:rPr>
          <w:rFonts w:ascii="Palatino Linotype" w:hAnsi="Palatino Linotype"/>
          <w:sz w:val="22"/>
          <w:szCs w:val="22"/>
        </w:rPr>
        <w:t>In the context of providing legal services, we may process special categories of personal data (Article 9 GDPR), where necessary for legal representation or compliance with legal obligations.</w:t>
      </w:r>
    </w:p>
    <w:p w:rsidR="00300CC6" w:rsidRDefault="00300CC6" w:rsidP="00300CC6">
      <w:pPr>
        <w:pStyle w:val="Kop2"/>
        <w:spacing w:before="0" w:after="0" w:line="280" w:lineRule="atLeast"/>
        <w:rPr>
          <w:rFonts w:ascii="Palatino Linotype" w:hAnsi="Palatino Linotype"/>
          <w:sz w:val="28"/>
          <w:szCs w:val="28"/>
        </w:rPr>
      </w:pPr>
      <w:bookmarkStart w:id="5" w:name="purposes-and-legal-bases"/>
      <w:bookmarkEnd w:id="4"/>
    </w:p>
    <w:p w:rsidR="00CB1C4B" w:rsidRPr="003B330A" w:rsidRDefault="008C0DC6" w:rsidP="00300CC6">
      <w:pPr>
        <w:pStyle w:val="Kop2"/>
        <w:spacing w:before="0" w:after="0" w:line="280" w:lineRule="atLeast"/>
        <w:rPr>
          <w:rFonts w:ascii="Palatino Linotype" w:hAnsi="Palatino Linotype"/>
          <w:sz w:val="28"/>
          <w:szCs w:val="28"/>
        </w:rPr>
      </w:pPr>
      <w:r w:rsidRPr="003B330A">
        <w:rPr>
          <w:rFonts w:ascii="Palatino Linotype" w:hAnsi="Palatino Linotype"/>
          <w:sz w:val="28"/>
          <w:szCs w:val="28"/>
        </w:rPr>
        <w:t>5. Purposes and Legal Bases</w:t>
      </w:r>
    </w:p>
    <w:p w:rsidR="00CB1C4B" w:rsidRPr="003B330A" w:rsidRDefault="008C0DC6" w:rsidP="00175D47">
      <w:pPr>
        <w:pStyle w:val="FirstParagraph"/>
        <w:spacing w:before="0" w:after="0" w:line="280" w:lineRule="atLeast"/>
        <w:jc w:val="both"/>
        <w:rPr>
          <w:rFonts w:ascii="Palatino Linotype" w:hAnsi="Palatino Linotype"/>
          <w:sz w:val="22"/>
          <w:szCs w:val="22"/>
        </w:rPr>
      </w:pPr>
      <w:r w:rsidRPr="003B330A">
        <w:rPr>
          <w:rFonts w:ascii="Palatino Linotype" w:hAnsi="Palatino Linotype"/>
          <w:sz w:val="22"/>
          <w:szCs w:val="22"/>
        </w:rPr>
        <w:t>We process personal data for the following purposes and legal bases: - Provision of legal services (Article 6(1)(b) GDPR – performance of a contract); - Compliance with legal and professional obligations (Article 6(1)(c) GDPR), including obligations under the Dutch Bar Association (NOvA) rules; - Representation of clients</w:t>
      </w:r>
      <w:r>
        <w:rPr>
          <w:rFonts w:ascii="Palatino Linotype" w:hAnsi="Palatino Linotype"/>
          <w:sz w:val="22"/>
          <w:szCs w:val="22"/>
        </w:rPr>
        <w:t>,</w:t>
      </w:r>
      <w:r w:rsidRPr="003B330A">
        <w:rPr>
          <w:rFonts w:ascii="Palatino Linotype" w:hAnsi="Palatino Linotype"/>
          <w:sz w:val="22"/>
          <w:szCs w:val="22"/>
        </w:rPr>
        <w:t xml:space="preserve"> and establishment, exercise, or defence of legal claims (Articles 6(1)(f) and 9(2)(f) GDPR); - Administration and billing (Article 6(1)(b) and (c) GDPR); - Marketing and business development, where permitted (Article 6(1)(f) GDPR); - Website security and improvement, if applicable (Article 6(1)(f) GDPR).</w:t>
      </w:r>
    </w:p>
    <w:p w:rsidR="00300CC6" w:rsidRDefault="00300CC6" w:rsidP="00300CC6">
      <w:pPr>
        <w:pStyle w:val="Kop2"/>
        <w:spacing w:before="0" w:after="0" w:line="280" w:lineRule="atLeast"/>
        <w:rPr>
          <w:rFonts w:ascii="Palatino Linotype" w:hAnsi="Palatino Linotype"/>
          <w:sz w:val="28"/>
          <w:szCs w:val="28"/>
        </w:rPr>
      </w:pPr>
      <w:bookmarkStart w:id="6" w:name="confidentiality-and-professional-secrecy"/>
      <w:bookmarkEnd w:id="5"/>
    </w:p>
    <w:p w:rsidR="00CB1C4B" w:rsidRPr="003B330A" w:rsidRDefault="008C0DC6" w:rsidP="00300CC6">
      <w:pPr>
        <w:pStyle w:val="Kop2"/>
        <w:spacing w:before="0" w:after="0" w:line="280" w:lineRule="atLeast"/>
        <w:rPr>
          <w:rFonts w:ascii="Palatino Linotype" w:hAnsi="Palatino Linotype"/>
          <w:sz w:val="28"/>
          <w:szCs w:val="28"/>
        </w:rPr>
      </w:pPr>
      <w:r w:rsidRPr="003B330A">
        <w:rPr>
          <w:rFonts w:ascii="Palatino Linotype" w:hAnsi="Palatino Linotype"/>
          <w:sz w:val="28"/>
          <w:szCs w:val="28"/>
        </w:rPr>
        <w:t>6. Confidentiality and Professional Secrecy</w:t>
      </w:r>
    </w:p>
    <w:p w:rsidR="00CB1C4B" w:rsidRPr="003B330A" w:rsidRDefault="008C0DC6" w:rsidP="00175D47">
      <w:pPr>
        <w:pStyle w:val="FirstParagraph"/>
        <w:spacing w:before="0" w:after="0" w:line="280" w:lineRule="atLeast"/>
        <w:jc w:val="both"/>
        <w:rPr>
          <w:rFonts w:ascii="Palatino Linotype" w:hAnsi="Palatino Linotype"/>
          <w:sz w:val="22"/>
          <w:szCs w:val="22"/>
        </w:rPr>
      </w:pPr>
      <w:r w:rsidRPr="003B330A">
        <w:rPr>
          <w:rFonts w:ascii="Palatino Linotype" w:hAnsi="Palatino Linotype"/>
          <w:sz w:val="22"/>
          <w:szCs w:val="22"/>
        </w:rPr>
        <w:t xml:space="preserve">All attorneys of </w:t>
      </w:r>
      <w:r w:rsidR="003B330A" w:rsidRPr="003B330A">
        <w:rPr>
          <w:rFonts w:ascii="Palatino Linotype" w:hAnsi="Palatino Linotype"/>
          <w:sz w:val="22"/>
          <w:szCs w:val="22"/>
        </w:rPr>
        <w:t>Cleber N.V.</w:t>
      </w:r>
      <w:r w:rsidRPr="003B330A">
        <w:rPr>
          <w:rFonts w:ascii="Palatino Linotype" w:hAnsi="Palatino Linotype"/>
          <w:sz w:val="22"/>
          <w:szCs w:val="22"/>
        </w:rPr>
        <w:t xml:space="preserve"> are bound by professional secrecy (legal privilege). Personal data obtained in the course of legal practice is treated as strictly confidential and processed only insofar as necessary for the execution of our professional duties.</w:t>
      </w:r>
    </w:p>
    <w:p w:rsidR="00300CC6" w:rsidRDefault="00300CC6" w:rsidP="00300CC6">
      <w:pPr>
        <w:pStyle w:val="Kop2"/>
        <w:spacing w:before="0" w:after="0" w:line="280" w:lineRule="atLeast"/>
        <w:rPr>
          <w:rFonts w:ascii="Palatino Linotype" w:hAnsi="Palatino Linotype"/>
          <w:sz w:val="28"/>
          <w:szCs w:val="28"/>
        </w:rPr>
      </w:pPr>
      <w:bookmarkStart w:id="7" w:name="data-sharing"/>
      <w:bookmarkEnd w:id="6"/>
    </w:p>
    <w:p w:rsidR="00CB1C4B" w:rsidRPr="003B330A" w:rsidRDefault="008C0DC6" w:rsidP="00300CC6">
      <w:pPr>
        <w:pStyle w:val="Kop2"/>
        <w:spacing w:before="0" w:after="0" w:line="280" w:lineRule="atLeast"/>
        <w:rPr>
          <w:rFonts w:ascii="Palatino Linotype" w:hAnsi="Palatino Linotype"/>
          <w:sz w:val="28"/>
          <w:szCs w:val="28"/>
        </w:rPr>
      </w:pPr>
      <w:r w:rsidRPr="003B330A">
        <w:rPr>
          <w:rFonts w:ascii="Palatino Linotype" w:hAnsi="Palatino Linotype"/>
          <w:sz w:val="28"/>
          <w:szCs w:val="28"/>
        </w:rPr>
        <w:t>7. Data Sharing</w:t>
      </w:r>
    </w:p>
    <w:p w:rsidR="00CB1C4B" w:rsidRPr="003B330A" w:rsidRDefault="008C0DC6" w:rsidP="00175D47">
      <w:pPr>
        <w:pStyle w:val="FirstParagraph"/>
        <w:spacing w:before="0" w:after="0" w:line="280" w:lineRule="atLeast"/>
        <w:jc w:val="both"/>
        <w:rPr>
          <w:rFonts w:ascii="Palatino Linotype" w:hAnsi="Palatino Linotype"/>
          <w:sz w:val="22"/>
          <w:szCs w:val="22"/>
        </w:rPr>
      </w:pPr>
      <w:r w:rsidRPr="003B330A">
        <w:rPr>
          <w:rFonts w:ascii="Palatino Linotype" w:hAnsi="Palatino Linotype"/>
          <w:sz w:val="22"/>
          <w:szCs w:val="22"/>
        </w:rPr>
        <w:t>We may share personal data only where necessary and appropriate, including with: - Courts, opposing counsel, arbitrators, and public authorities; - Expert witnesses, notaries, bailiffs, and other professional advisers; - IT service providers and other processors engaged under data processing agreements; - Other parties with whom sharing is required by law or court order.</w:t>
      </w:r>
    </w:p>
    <w:p w:rsidR="00CB1C4B" w:rsidRPr="003B330A" w:rsidRDefault="008C0DC6" w:rsidP="00175D47">
      <w:pPr>
        <w:pStyle w:val="FirstParagraph"/>
        <w:spacing w:before="0" w:after="0" w:line="280" w:lineRule="atLeast"/>
        <w:jc w:val="both"/>
        <w:rPr>
          <w:rFonts w:ascii="Palatino Linotype" w:hAnsi="Palatino Linotype"/>
          <w:sz w:val="22"/>
          <w:szCs w:val="22"/>
        </w:rPr>
      </w:pPr>
      <w:r w:rsidRPr="003B330A">
        <w:rPr>
          <w:rFonts w:ascii="Palatino Linotype" w:hAnsi="Palatino Linotype"/>
          <w:sz w:val="22"/>
          <w:szCs w:val="22"/>
        </w:rPr>
        <w:t>Personal data will not be transferred to third parties for commercial purposes.</w:t>
      </w:r>
    </w:p>
    <w:p w:rsidR="00300CC6" w:rsidRDefault="00300CC6" w:rsidP="00300CC6">
      <w:pPr>
        <w:pStyle w:val="Kop2"/>
        <w:spacing w:before="0" w:after="0" w:line="280" w:lineRule="atLeast"/>
        <w:rPr>
          <w:rFonts w:ascii="Palatino Linotype" w:hAnsi="Palatino Linotype"/>
          <w:sz w:val="28"/>
          <w:szCs w:val="28"/>
        </w:rPr>
      </w:pPr>
      <w:bookmarkStart w:id="8" w:name="international-transfers"/>
      <w:bookmarkEnd w:id="7"/>
    </w:p>
    <w:p w:rsidR="00CB1C4B" w:rsidRPr="003B330A" w:rsidRDefault="008C0DC6" w:rsidP="00300CC6">
      <w:pPr>
        <w:pStyle w:val="Kop2"/>
        <w:spacing w:before="0" w:after="0" w:line="280" w:lineRule="atLeast"/>
        <w:rPr>
          <w:rFonts w:ascii="Palatino Linotype" w:hAnsi="Palatino Linotype"/>
          <w:sz w:val="28"/>
          <w:szCs w:val="28"/>
        </w:rPr>
      </w:pPr>
      <w:r w:rsidRPr="003B330A">
        <w:rPr>
          <w:rFonts w:ascii="Palatino Linotype" w:hAnsi="Palatino Linotype"/>
          <w:sz w:val="28"/>
          <w:szCs w:val="28"/>
        </w:rPr>
        <w:t>8. International Transfers</w:t>
      </w:r>
    </w:p>
    <w:p w:rsidR="00CB1C4B" w:rsidRPr="003B330A" w:rsidRDefault="008C0DC6" w:rsidP="00175D47">
      <w:pPr>
        <w:pStyle w:val="FirstParagraph"/>
        <w:spacing w:before="0" w:after="0" w:line="280" w:lineRule="atLeast"/>
        <w:jc w:val="both"/>
        <w:rPr>
          <w:rFonts w:ascii="Palatino Linotype" w:hAnsi="Palatino Linotype"/>
          <w:sz w:val="22"/>
          <w:szCs w:val="22"/>
        </w:rPr>
      </w:pPr>
      <w:r w:rsidRPr="003B330A">
        <w:rPr>
          <w:rFonts w:ascii="Palatino Linotype" w:hAnsi="Palatino Linotype"/>
          <w:sz w:val="22"/>
          <w:szCs w:val="22"/>
        </w:rPr>
        <w:t>If personal data is transferred outside the European Economic Area (EEA), this will only occur in compliance with Chapter V GDPR, including the use of adequacy decisions or standard contractual clauses.</w:t>
      </w:r>
    </w:p>
    <w:p w:rsidR="00300CC6" w:rsidRDefault="00300CC6" w:rsidP="00300CC6">
      <w:pPr>
        <w:pStyle w:val="Kop2"/>
        <w:spacing w:before="0" w:after="0" w:line="280" w:lineRule="atLeast"/>
        <w:rPr>
          <w:rFonts w:ascii="Palatino Linotype" w:hAnsi="Palatino Linotype"/>
          <w:sz w:val="28"/>
          <w:szCs w:val="28"/>
        </w:rPr>
      </w:pPr>
      <w:bookmarkStart w:id="9" w:name="data-retention"/>
      <w:bookmarkEnd w:id="8"/>
    </w:p>
    <w:p w:rsidR="00CB1C4B" w:rsidRPr="003B330A" w:rsidRDefault="008C0DC6" w:rsidP="00300CC6">
      <w:pPr>
        <w:pStyle w:val="Kop2"/>
        <w:spacing w:before="0" w:after="0" w:line="280" w:lineRule="atLeast"/>
        <w:rPr>
          <w:rFonts w:ascii="Palatino Linotype" w:hAnsi="Palatino Linotype"/>
          <w:sz w:val="28"/>
          <w:szCs w:val="28"/>
        </w:rPr>
      </w:pPr>
      <w:r w:rsidRPr="003B330A">
        <w:rPr>
          <w:rFonts w:ascii="Palatino Linotype" w:hAnsi="Palatino Linotype"/>
          <w:sz w:val="28"/>
          <w:szCs w:val="28"/>
        </w:rPr>
        <w:t>9. Data Retention</w:t>
      </w:r>
    </w:p>
    <w:p w:rsidR="00CB1C4B" w:rsidRPr="003B330A" w:rsidRDefault="008C0DC6" w:rsidP="00175D47">
      <w:pPr>
        <w:pStyle w:val="FirstParagraph"/>
        <w:spacing w:before="0" w:after="0" w:line="280" w:lineRule="atLeast"/>
        <w:jc w:val="both"/>
        <w:rPr>
          <w:rFonts w:ascii="Palatino Linotype" w:hAnsi="Palatino Linotype"/>
          <w:sz w:val="22"/>
          <w:szCs w:val="22"/>
        </w:rPr>
      </w:pPr>
      <w:r w:rsidRPr="003B330A">
        <w:rPr>
          <w:rFonts w:ascii="Palatino Linotype" w:hAnsi="Palatino Linotype"/>
          <w:sz w:val="22"/>
          <w:szCs w:val="22"/>
        </w:rPr>
        <w:t>We retain personal data no longer than necessary for the purposes for which it was collected, taking into account: - Statutory retention periods under Dutch law; - Professional rules applicable to attorneys; - Limitation periods and archival obligations.</w:t>
      </w:r>
    </w:p>
    <w:p w:rsidR="00CB1C4B" w:rsidRPr="003B330A" w:rsidRDefault="008C0DC6" w:rsidP="00175D47">
      <w:pPr>
        <w:pStyle w:val="FirstParagraph"/>
        <w:spacing w:before="0" w:after="0" w:line="280" w:lineRule="atLeast"/>
        <w:jc w:val="both"/>
        <w:rPr>
          <w:rFonts w:ascii="Palatino Linotype" w:hAnsi="Palatino Linotype"/>
          <w:sz w:val="22"/>
          <w:szCs w:val="22"/>
        </w:rPr>
      </w:pPr>
      <w:r w:rsidRPr="003B330A">
        <w:rPr>
          <w:rFonts w:ascii="Palatino Linotype" w:hAnsi="Palatino Linotype"/>
          <w:sz w:val="22"/>
          <w:szCs w:val="22"/>
        </w:rPr>
        <w:t>Client files are generally retained for a minimum of 7 years after closure of a matter, unless a longer retention period is required or justified.</w:t>
      </w:r>
    </w:p>
    <w:p w:rsidR="00300CC6" w:rsidRDefault="00300CC6" w:rsidP="00300CC6">
      <w:pPr>
        <w:pStyle w:val="Kop2"/>
        <w:spacing w:before="0" w:after="0" w:line="280" w:lineRule="atLeast"/>
        <w:rPr>
          <w:rFonts w:ascii="Palatino Linotype" w:hAnsi="Palatino Linotype"/>
          <w:sz w:val="28"/>
          <w:szCs w:val="28"/>
        </w:rPr>
      </w:pPr>
      <w:bookmarkStart w:id="10" w:name="security-measures"/>
      <w:bookmarkEnd w:id="9"/>
    </w:p>
    <w:p w:rsidR="00CB1C4B" w:rsidRPr="003B330A" w:rsidRDefault="008C0DC6" w:rsidP="00300CC6">
      <w:pPr>
        <w:pStyle w:val="Kop2"/>
        <w:spacing w:before="0" w:after="0" w:line="280" w:lineRule="atLeast"/>
        <w:rPr>
          <w:rFonts w:ascii="Palatino Linotype" w:hAnsi="Palatino Linotype"/>
          <w:sz w:val="28"/>
          <w:szCs w:val="28"/>
        </w:rPr>
      </w:pPr>
      <w:r w:rsidRPr="003B330A">
        <w:rPr>
          <w:rFonts w:ascii="Palatino Linotype" w:hAnsi="Palatino Linotype"/>
          <w:sz w:val="28"/>
          <w:szCs w:val="28"/>
        </w:rPr>
        <w:t>10. Security Measures</w:t>
      </w:r>
    </w:p>
    <w:p w:rsidR="00CB1C4B" w:rsidRPr="003B330A" w:rsidRDefault="008C0DC6" w:rsidP="00175D47">
      <w:pPr>
        <w:pStyle w:val="FirstParagraph"/>
        <w:spacing w:before="0" w:after="0" w:line="280" w:lineRule="atLeast"/>
        <w:jc w:val="both"/>
        <w:rPr>
          <w:rFonts w:ascii="Palatino Linotype" w:hAnsi="Palatino Linotype"/>
          <w:sz w:val="22"/>
          <w:szCs w:val="22"/>
        </w:rPr>
      </w:pPr>
      <w:r w:rsidRPr="003B330A">
        <w:rPr>
          <w:rFonts w:ascii="Palatino Linotype" w:hAnsi="Palatino Linotype"/>
          <w:sz w:val="22"/>
          <w:szCs w:val="22"/>
        </w:rPr>
        <w:t>We implement appropriate technical and organisational measures to protect personal data against loss, unauthorised access, or unlawful processing, including: - Access controls and confidentiality obligations; - Secure IT systems and encryption where appropriate; - Regular review of security procedures.</w:t>
      </w:r>
    </w:p>
    <w:p w:rsidR="00300CC6" w:rsidRDefault="00300CC6" w:rsidP="00300CC6">
      <w:pPr>
        <w:pStyle w:val="Kop2"/>
        <w:spacing w:before="0" w:after="0" w:line="280" w:lineRule="atLeast"/>
        <w:rPr>
          <w:rFonts w:ascii="Palatino Linotype" w:hAnsi="Palatino Linotype"/>
          <w:sz w:val="28"/>
          <w:szCs w:val="28"/>
        </w:rPr>
      </w:pPr>
      <w:bookmarkStart w:id="11" w:name="data-subject-rights"/>
      <w:bookmarkEnd w:id="10"/>
    </w:p>
    <w:p w:rsidR="00CB1C4B" w:rsidRPr="003B330A" w:rsidRDefault="008C0DC6" w:rsidP="00300CC6">
      <w:pPr>
        <w:pStyle w:val="Kop2"/>
        <w:spacing w:before="0" w:after="0" w:line="280" w:lineRule="atLeast"/>
        <w:rPr>
          <w:rFonts w:ascii="Palatino Linotype" w:hAnsi="Palatino Linotype"/>
          <w:sz w:val="28"/>
          <w:szCs w:val="28"/>
        </w:rPr>
      </w:pPr>
      <w:r w:rsidRPr="003B330A">
        <w:rPr>
          <w:rFonts w:ascii="Palatino Linotype" w:hAnsi="Palatino Linotype"/>
          <w:sz w:val="28"/>
          <w:szCs w:val="28"/>
        </w:rPr>
        <w:t>11. Data Subject Rights</w:t>
      </w:r>
    </w:p>
    <w:p w:rsidR="00CB1C4B" w:rsidRPr="003B330A" w:rsidRDefault="008C0DC6" w:rsidP="00175D47">
      <w:pPr>
        <w:pStyle w:val="FirstParagraph"/>
        <w:spacing w:before="0" w:after="0" w:line="280" w:lineRule="atLeast"/>
        <w:jc w:val="both"/>
        <w:rPr>
          <w:rFonts w:ascii="Palatino Linotype" w:hAnsi="Palatino Linotype"/>
          <w:sz w:val="22"/>
          <w:szCs w:val="22"/>
        </w:rPr>
      </w:pPr>
      <w:r w:rsidRPr="003B330A">
        <w:rPr>
          <w:rFonts w:ascii="Palatino Linotype" w:hAnsi="Palatino Linotype"/>
          <w:sz w:val="22"/>
          <w:szCs w:val="22"/>
        </w:rPr>
        <w:t>Data subjects have the following rights under the GDPR: - Right of access; - Right to rectification; - Right to erasure (where applicable); - Right to restriction of processing; - Right to data portability; - Right to object to processing; - Right to withdraw consent, where processing is based on consent.</w:t>
      </w:r>
    </w:p>
    <w:p w:rsidR="00CB1C4B" w:rsidRPr="003B330A" w:rsidRDefault="008C0DC6" w:rsidP="00175D47">
      <w:pPr>
        <w:pStyle w:val="FirstParagraph"/>
        <w:spacing w:before="0" w:after="0" w:line="280" w:lineRule="atLeast"/>
        <w:jc w:val="both"/>
        <w:rPr>
          <w:rFonts w:ascii="Palatino Linotype" w:hAnsi="Palatino Linotype"/>
          <w:sz w:val="22"/>
          <w:szCs w:val="22"/>
        </w:rPr>
      </w:pPr>
      <w:r w:rsidRPr="003B330A">
        <w:rPr>
          <w:rFonts w:ascii="Palatino Linotype" w:hAnsi="Palatino Linotype"/>
          <w:sz w:val="22"/>
          <w:szCs w:val="22"/>
        </w:rPr>
        <w:t>Requests may be submitted using the contact details above. We may be limited in fulfilling certain requests due to legal privilege or statutory obligations.</w:t>
      </w:r>
    </w:p>
    <w:p w:rsidR="00300CC6" w:rsidRDefault="00300CC6" w:rsidP="00300CC6">
      <w:pPr>
        <w:pStyle w:val="Kop2"/>
        <w:spacing w:before="0" w:after="0" w:line="280" w:lineRule="atLeast"/>
        <w:rPr>
          <w:rFonts w:ascii="Palatino Linotype" w:hAnsi="Palatino Linotype"/>
          <w:sz w:val="28"/>
          <w:szCs w:val="28"/>
        </w:rPr>
      </w:pPr>
      <w:bookmarkStart w:id="12" w:name="complaints"/>
      <w:bookmarkEnd w:id="11"/>
    </w:p>
    <w:p w:rsidR="00CB1C4B" w:rsidRPr="003B330A" w:rsidRDefault="008C0DC6" w:rsidP="00300CC6">
      <w:pPr>
        <w:pStyle w:val="Kop2"/>
        <w:spacing w:before="0" w:after="0" w:line="280" w:lineRule="atLeast"/>
        <w:rPr>
          <w:rFonts w:ascii="Palatino Linotype" w:hAnsi="Palatino Linotype"/>
          <w:sz w:val="28"/>
          <w:szCs w:val="28"/>
        </w:rPr>
      </w:pPr>
      <w:r w:rsidRPr="003B330A">
        <w:rPr>
          <w:rFonts w:ascii="Palatino Linotype" w:hAnsi="Palatino Linotype"/>
          <w:sz w:val="28"/>
          <w:szCs w:val="28"/>
        </w:rPr>
        <w:t>12. Complaints</w:t>
      </w:r>
    </w:p>
    <w:p w:rsidR="00CB1C4B" w:rsidRPr="003B330A" w:rsidRDefault="008C0DC6" w:rsidP="00175D47">
      <w:pPr>
        <w:pStyle w:val="FirstParagraph"/>
        <w:spacing w:before="0" w:after="0" w:line="280" w:lineRule="atLeast"/>
        <w:jc w:val="both"/>
        <w:rPr>
          <w:rFonts w:ascii="Palatino Linotype" w:hAnsi="Palatino Linotype"/>
          <w:sz w:val="22"/>
          <w:szCs w:val="22"/>
        </w:rPr>
      </w:pPr>
      <w:r w:rsidRPr="003B330A">
        <w:rPr>
          <w:rFonts w:ascii="Palatino Linotype" w:hAnsi="Palatino Linotype"/>
          <w:sz w:val="22"/>
          <w:szCs w:val="22"/>
        </w:rPr>
        <w:t>If you believe that we process personal data in violation of applicable law, you may lodge a complaint with the Dutch Data Protection Authority (Autoriteit Persoonsgegevens) via www.autoriteitpersoonsgegevens.nl.</w:t>
      </w:r>
    </w:p>
    <w:p w:rsidR="00300CC6" w:rsidRDefault="00300CC6" w:rsidP="00300CC6">
      <w:pPr>
        <w:pStyle w:val="Kop2"/>
        <w:spacing w:before="0" w:after="0" w:line="280" w:lineRule="atLeast"/>
        <w:rPr>
          <w:rFonts w:ascii="Palatino Linotype" w:hAnsi="Palatino Linotype"/>
          <w:sz w:val="28"/>
          <w:szCs w:val="28"/>
        </w:rPr>
      </w:pPr>
      <w:bookmarkStart w:id="13" w:name="changes-to-this-privacy-policy"/>
      <w:bookmarkEnd w:id="12"/>
    </w:p>
    <w:p w:rsidR="00CB1C4B" w:rsidRPr="003B330A" w:rsidRDefault="008C0DC6" w:rsidP="00300CC6">
      <w:pPr>
        <w:pStyle w:val="Kop2"/>
        <w:spacing w:before="0" w:after="0" w:line="280" w:lineRule="atLeast"/>
        <w:rPr>
          <w:rFonts w:ascii="Palatino Linotype" w:hAnsi="Palatino Linotype"/>
          <w:sz w:val="28"/>
          <w:szCs w:val="28"/>
        </w:rPr>
      </w:pPr>
      <w:r w:rsidRPr="003B330A">
        <w:rPr>
          <w:rFonts w:ascii="Palatino Linotype" w:hAnsi="Palatino Linotype"/>
          <w:sz w:val="28"/>
          <w:szCs w:val="28"/>
        </w:rPr>
        <w:t>13. Changes to This Privacy Policy</w:t>
      </w:r>
    </w:p>
    <w:p w:rsidR="00CB1C4B" w:rsidRPr="003B330A" w:rsidRDefault="008C0DC6" w:rsidP="00175D47">
      <w:pPr>
        <w:pStyle w:val="FirstParagraph"/>
        <w:spacing w:before="0" w:after="0" w:line="280" w:lineRule="atLeast"/>
        <w:jc w:val="both"/>
        <w:rPr>
          <w:rFonts w:ascii="Palatino Linotype" w:hAnsi="Palatino Linotype"/>
          <w:sz w:val="22"/>
          <w:szCs w:val="22"/>
        </w:rPr>
      </w:pPr>
      <w:r w:rsidRPr="003B330A">
        <w:rPr>
          <w:rFonts w:ascii="Palatino Linotype" w:hAnsi="Palatino Linotype"/>
          <w:sz w:val="22"/>
          <w:szCs w:val="22"/>
        </w:rPr>
        <w:t>We may update this Privacy Policy from time to time. The most recent version will be made available on our website or upon request.</w:t>
      </w:r>
    </w:p>
    <w:p w:rsidR="00300CC6" w:rsidRDefault="00300CC6" w:rsidP="00300CC6">
      <w:pPr>
        <w:pStyle w:val="FirstParagraph"/>
        <w:spacing w:before="0" w:after="0" w:line="280" w:lineRule="atLeast"/>
        <w:rPr>
          <w:rFonts w:ascii="Palatino Linotype" w:hAnsi="Palatino Linotype"/>
          <w:sz w:val="22"/>
          <w:szCs w:val="22"/>
        </w:rPr>
      </w:pPr>
    </w:p>
    <w:p w:rsidR="00300CC6" w:rsidRDefault="00300CC6" w:rsidP="00300CC6">
      <w:pPr>
        <w:pStyle w:val="FirstParagraph"/>
        <w:spacing w:before="0" w:after="0" w:line="280" w:lineRule="atLeast"/>
        <w:rPr>
          <w:rFonts w:ascii="Palatino Linotype" w:hAnsi="Palatino Linotype"/>
          <w:sz w:val="22"/>
          <w:szCs w:val="22"/>
        </w:rPr>
      </w:pPr>
    </w:p>
    <w:p w:rsidR="00300CC6" w:rsidRDefault="00300CC6" w:rsidP="00300CC6">
      <w:pPr>
        <w:pStyle w:val="FirstParagraph"/>
        <w:spacing w:before="0" w:after="0" w:line="280" w:lineRule="atLeast"/>
        <w:rPr>
          <w:rFonts w:ascii="Palatino Linotype" w:hAnsi="Palatino Linotype"/>
          <w:sz w:val="22"/>
          <w:szCs w:val="22"/>
        </w:rPr>
      </w:pPr>
    </w:p>
    <w:p w:rsidR="00300CC6" w:rsidRDefault="00300CC6" w:rsidP="00300CC6">
      <w:pPr>
        <w:pStyle w:val="FirstParagraph"/>
        <w:spacing w:before="0" w:after="0" w:line="280" w:lineRule="atLeast"/>
        <w:rPr>
          <w:rFonts w:ascii="Palatino Linotype" w:hAnsi="Palatino Linotype"/>
          <w:sz w:val="22"/>
          <w:szCs w:val="22"/>
        </w:rPr>
      </w:pPr>
    </w:p>
    <w:p w:rsidR="00CB1C4B" w:rsidRPr="003B330A" w:rsidRDefault="008C0DC6" w:rsidP="00300CC6">
      <w:pPr>
        <w:pStyle w:val="FirstParagraph"/>
        <w:spacing w:before="0" w:after="0" w:line="280" w:lineRule="atLeast"/>
        <w:rPr>
          <w:rFonts w:ascii="Palatino Linotype" w:hAnsi="Palatino Linotype"/>
          <w:sz w:val="22"/>
          <w:szCs w:val="22"/>
        </w:rPr>
      </w:pPr>
      <w:bookmarkStart w:id="14" w:name="_Hlk221701217"/>
      <w:r w:rsidRPr="003B330A">
        <w:rPr>
          <w:rFonts w:ascii="Palatino Linotype" w:hAnsi="Palatino Linotype"/>
          <w:sz w:val="22"/>
          <w:szCs w:val="22"/>
        </w:rPr>
        <w:t>Last updated:</w:t>
      </w:r>
      <w:r w:rsidR="003B330A" w:rsidRPr="003B330A">
        <w:rPr>
          <w:rFonts w:ascii="Palatino Linotype" w:hAnsi="Palatino Linotype"/>
          <w:sz w:val="22"/>
          <w:szCs w:val="22"/>
        </w:rPr>
        <w:t xml:space="preserve"> February 2026</w:t>
      </w:r>
    </w:p>
    <w:p w:rsidR="00CB1C4B" w:rsidRPr="003B330A" w:rsidRDefault="0011765A" w:rsidP="00300CC6">
      <w:pPr>
        <w:pStyle w:val="FirstParagraph"/>
        <w:spacing w:before="0" w:after="0" w:line="280" w:lineRule="atLeast"/>
        <w:rPr>
          <w:rFonts w:ascii="Palatino Linotype" w:hAnsi="Palatino Linotype"/>
          <w:sz w:val="22"/>
          <w:szCs w:val="22"/>
        </w:rPr>
      </w:pPr>
      <w:bookmarkStart w:id="15" w:name="_Hlk221703569"/>
      <w:bookmarkEnd w:id="14"/>
      <w:r>
        <w:rPr>
          <w:rFonts w:ascii="Palatino Linotype" w:hAnsi="Palatino Linotype"/>
          <w:sz w:val="22"/>
          <w:szCs w:val="22"/>
        </w:rPr>
        <w:pict>
          <v:rect id="_x0000_i1042" style="width:0;height:1.5pt" o:hralign="center" o:hrstd="t" o:hr="t"/>
        </w:pict>
      </w:r>
      <w:bookmarkEnd w:id="15"/>
    </w:p>
    <w:p w:rsidR="00CB1C4B" w:rsidRPr="003B330A" w:rsidRDefault="008C0DC6" w:rsidP="00300CC6">
      <w:pPr>
        <w:pStyle w:val="FirstParagraph"/>
        <w:spacing w:before="0" w:after="0" w:line="280" w:lineRule="atLeast"/>
        <w:rPr>
          <w:rFonts w:ascii="Palatino Linotype" w:hAnsi="Palatino Linotype"/>
          <w:i/>
          <w:sz w:val="22"/>
          <w:szCs w:val="22"/>
        </w:rPr>
      </w:pPr>
      <w:r w:rsidRPr="003B330A">
        <w:rPr>
          <w:rFonts w:ascii="Palatino Linotype" w:hAnsi="Palatino Linotype"/>
          <w:i/>
          <w:sz w:val="22"/>
          <w:szCs w:val="22"/>
        </w:rPr>
        <w:t>This Privacy Polic</w:t>
      </w:r>
      <w:bookmarkStart w:id="16" w:name="_GoBack"/>
      <w:bookmarkEnd w:id="16"/>
      <w:r w:rsidRPr="003B330A">
        <w:rPr>
          <w:rFonts w:ascii="Palatino Linotype" w:hAnsi="Palatino Linotype"/>
          <w:i/>
          <w:sz w:val="22"/>
          <w:szCs w:val="22"/>
        </w:rPr>
        <w:t>y is governed by Dutch law.</w:t>
      </w:r>
      <w:bookmarkEnd w:id="0"/>
      <w:bookmarkEnd w:id="13"/>
    </w:p>
    <w:sectPr w:rsidR="00CB1C4B" w:rsidRPr="003B330A" w:rsidSect="00391F9A">
      <w:headerReference w:type="even" r:id="rId7"/>
      <w:headerReference w:type="default" r:id="rId8"/>
      <w:footerReference w:type="default" r:id="rId9"/>
      <w:headerReference w:type="first" r:id="rId10"/>
      <w:footnotePr>
        <w:numRestart w:val="eachSect"/>
      </w:footnotePr>
      <w:pgSz w:w="11907" w:h="16840" w:code="9"/>
      <w:pgMar w:top="1985"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D4F" w:rsidRDefault="008C0DC6">
      <w:pPr>
        <w:spacing w:after="0"/>
      </w:pPr>
      <w:r>
        <w:separator/>
      </w:r>
    </w:p>
  </w:endnote>
  <w:endnote w:type="continuationSeparator" w:id="0">
    <w:p w:rsidR="00413D4F" w:rsidRDefault="008C0D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0"/>
        <w:szCs w:val="20"/>
      </w:rPr>
      <w:id w:val="283780128"/>
      <w:docPartObj>
        <w:docPartGallery w:val="Page Numbers (Bottom of Page)"/>
        <w:docPartUnique/>
      </w:docPartObj>
    </w:sdtPr>
    <w:sdtEndPr/>
    <w:sdtContent>
      <w:p w:rsidR="00300CC6" w:rsidRPr="0077318E" w:rsidRDefault="008C0DC6">
        <w:pPr>
          <w:pStyle w:val="Voettekst"/>
          <w:jc w:val="right"/>
          <w:rPr>
            <w:rFonts w:ascii="Palatino Linotype" w:hAnsi="Palatino Linotype"/>
            <w:sz w:val="20"/>
            <w:szCs w:val="20"/>
          </w:rPr>
        </w:pPr>
        <w:r w:rsidRPr="0077318E">
          <w:rPr>
            <w:rFonts w:ascii="Palatino Linotype" w:hAnsi="Palatino Linotype"/>
            <w:sz w:val="20"/>
            <w:szCs w:val="20"/>
          </w:rPr>
          <w:fldChar w:fldCharType="begin"/>
        </w:r>
        <w:r w:rsidRPr="0077318E">
          <w:rPr>
            <w:rFonts w:ascii="Palatino Linotype" w:hAnsi="Palatino Linotype"/>
            <w:sz w:val="20"/>
            <w:szCs w:val="20"/>
          </w:rPr>
          <w:instrText>PAGE   \* MERGEFORMAT</w:instrText>
        </w:r>
        <w:r w:rsidRPr="0077318E">
          <w:rPr>
            <w:rFonts w:ascii="Palatino Linotype" w:hAnsi="Palatino Linotype"/>
            <w:sz w:val="20"/>
            <w:szCs w:val="20"/>
          </w:rPr>
          <w:fldChar w:fldCharType="separate"/>
        </w:r>
        <w:r w:rsidRPr="0077318E">
          <w:rPr>
            <w:rFonts w:ascii="Palatino Linotype" w:hAnsi="Palatino Linotype"/>
            <w:sz w:val="20"/>
            <w:szCs w:val="20"/>
            <w:lang w:val="nl-NL"/>
          </w:rPr>
          <w:t>3</w:t>
        </w:r>
        <w:r w:rsidRPr="0077318E">
          <w:rPr>
            <w:rFonts w:ascii="Palatino Linotype" w:hAnsi="Palatino Linotype"/>
            <w:sz w:val="20"/>
            <w:szCs w:val="20"/>
          </w:rPr>
          <w:fldChar w:fldCharType="end"/>
        </w:r>
        <w:r w:rsidRPr="0077318E">
          <w:rPr>
            <w:rFonts w:ascii="Palatino Linotype" w:hAnsi="Palatino Linotype"/>
            <w:sz w:val="20"/>
            <w:szCs w:val="20"/>
          </w:rPr>
          <w:t>/3</w:t>
        </w:r>
      </w:p>
    </w:sdtContent>
  </w:sdt>
  <w:p w:rsidR="00300CC6" w:rsidRDefault="00300C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D4F" w:rsidRDefault="008C0DC6">
      <w:pPr>
        <w:spacing w:after="0"/>
      </w:pPr>
      <w:r>
        <w:separator/>
      </w:r>
    </w:p>
  </w:footnote>
  <w:footnote w:type="continuationSeparator" w:id="0">
    <w:p w:rsidR="00413D4F" w:rsidRDefault="008C0D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vanish/>
        <w:sz w:val="6"/>
        <w:szCs w:val="6"/>
      </w:rPr>
      <w:tag w:val="ccLogoFP"/>
      <w:id w:val="-744112959"/>
      <w:placeholder>
        <w:docPart w:val="7C09D1B1A6A046719FC00785F19404D4"/>
      </w:placeholder>
    </w:sdtPr>
    <w:sdtEndPr/>
    <w:sdtContent>
      <w:p w:rsidR="003B330A" w:rsidRPr="00D52914" w:rsidRDefault="008C0DC6" w:rsidP="00190D5C">
        <w:pPr>
          <w:framePr w:w="11907" w:h="181" w:hRule="exact" w:wrap="around" w:vAnchor="page" w:hAnchor="page" w:x="1" w:y="1" w:anchorLock="1"/>
          <w:rPr>
            <w:vanish/>
            <w:sz w:val="6"/>
            <w:szCs w:val="6"/>
          </w:rPr>
        </w:pPr>
        <w:r w:rsidRPr="00D52914">
          <w:rPr>
            <w:noProof/>
            <w:vanish/>
          </w:rPr>
          <w:drawing>
            <wp:anchor distT="0" distB="0" distL="114300" distR="114300" simplePos="0" relativeHeight="251660288" behindDoc="0" locked="1" layoutInCell="1" allowOverlap="1">
              <wp:simplePos x="0" y="0"/>
              <wp:positionH relativeFrom="page">
                <wp:posOffset>902970</wp:posOffset>
              </wp:positionH>
              <wp:positionV relativeFrom="page">
                <wp:posOffset>750570</wp:posOffset>
              </wp:positionV>
              <wp:extent cx="935990" cy="30924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eber_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5990" cy="309245"/>
                      </a:xfrm>
                      <a:prstGeom prst="rect">
                        <a:avLst/>
                      </a:prstGeom>
                    </pic:spPr>
                  </pic:pic>
                </a:graphicData>
              </a:graphic>
              <wp14:sizeRelH relativeFrom="page">
                <wp14:pctWidth>0</wp14:pctWidth>
              </wp14:sizeRelH>
              <wp14:sizeRelV relativeFrom="page">
                <wp14:pctHeight>0</wp14:pctHeight>
              </wp14:sizeRelV>
            </wp:anchor>
          </w:drawing>
        </w:r>
      </w:p>
    </w:sdtContent>
  </w:sdt>
  <w:p w:rsidR="003B330A" w:rsidRDefault="003B33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7" w:name="bmLogoRange" w:displacedByCustomXml="next"/>
  <w:sdt>
    <w:sdtPr>
      <w:rPr>
        <w:vanish/>
        <w:sz w:val="6"/>
        <w:szCs w:val="6"/>
      </w:rPr>
      <w:tag w:val="ccLogoFP"/>
      <w:id w:val="-1575888650"/>
      <w:placeholder>
        <w:docPart w:val="09805C814DC749CFAE63C2A96A8925D7"/>
      </w:placeholder>
    </w:sdtPr>
    <w:sdtEndPr/>
    <w:sdtContent>
      <w:p w:rsidR="003B330A" w:rsidRPr="00D52914" w:rsidRDefault="008C0DC6" w:rsidP="00190D5C">
        <w:pPr>
          <w:framePr w:w="11907" w:h="181" w:hRule="exact" w:wrap="around" w:vAnchor="page" w:hAnchor="page" w:x="1" w:y="1" w:anchorLock="1"/>
          <w:rPr>
            <w:vanish/>
            <w:sz w:val="6"/>
            <w:szCs w:val="6"/>
          </w:rPr>
        </w:pPr>
        <w:r w:rsidRPr="00D52914">
          <w:rPr>
            <w:noProof/>
            <w:vanish/>
          </w:rPr>
          <w:drawing>
            <wp:anchor distT="0" distB="0" distL="114300" distR="114300" simplePos="0" relativeHeight="251658240" behindDoc="0" locked="1" layoutInCell="1" allowOverlap="1">
              <wp:simplePos x="0" y="0"/>
              <wp:positionH relativeFrom="page">
                <wp:posOffset>902970</wp:posOffset>
              </wp:positionH>
              <wp:positionV relativeFrom="page">
                <wp:posOffset>750570</wp:posOffset>
              </wp:positionV>
              <wp:extent cx="935990" cy="309245"/>
              <wp:effectExtent l="0" t="0" r="0" b="0"/>
              <wp:wrapNone/>
              <wp:docPr id="168527550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41627" name="Cleber_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5990" cy="309245"/>
                      </a:xfrm>
                      <a:prstGeom prst="rect">
                        <a:avLst/>
                      </a:prstGeom>
                    </pic:spPr>
                  </pic:pic>
                </a:graphicData>
              </a:graphic>
              <wp14:sizeRelH relativeFrom="page">
                <wp14:pctWidth>0</wp14:pctWidth>
              </wp14:sizeRelH>
              <wp14:sizeRelV relativeFrom="page">
                <wp14:pctHeight>0</wp14:pctHeight>
              </wp14:sizeRelV>
            </wp:anchor>
          </w:drawing>
        </w:r>
      </w:p>
    </w:sdtContent>
  </w:sdt>
  <w:bookmarkEnd w:id="17"/>
  <w:p w:rsidR="003B330A" w:rsidRDefault="003B33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vanish/>
        <w:sz w:val="6"/>
        <w:szCs w:val="6"/>
      </w:rPr>
      <w:tag w:val="ccLogoFP"/>
      <w:id w:val="-511074338"/>
      <w:placeholder>
        <w:docPart w:val="18B6E5223C6F4B4A8E8A2ACE9858F23D"/>
      </w:placeholder>
    </w:sdtPr>
    <w:sdtEndPr/>
    <w:sdtContent>
      <w:p w:rsidR="003B330A" w:rsidRPr="00D52914" w:rsidRDefault="008C0DC6" w:rsidP="00190D5C">
        <w:pPr>
          <w:framePr w:w="11907" w:h="181" w:hRule="exact" w:wrap="around" w:vAnchor="page" w:hAnchor="page" w:x="1" w:y="1" w:anchorLock="1"/>
          <w:rPr>
            <w:vanish/>
            <w:sz w:val="6"/>
            <w:szCs w:val="6"/>
          </w:rPr>
        </w:pPr>
        <w:r w:rsidRPr="00D52914">
          <w:rPr>
            <w:noProof/>
            <w:vanish/>
          </w:rPr>
          <w:drawing>
            <wp:anchor distT="0" distB="0" distL="114300" distR="114300" simplePos="0" relativeHeight="251659264" behindDoc="0" locked="1" layoutInCell="1" allowOverlap="1">
              <wp:simplePos x="0" y="0"/>
              <wp:positionH relativeFrom="page">
                <wp:posOffset>902970</wp:posOffset>
              </wp:positionH>
              <wp:positionV relativeFrom="page">
                <wp:posOffset>750570</wp:posOffset>
              </wp:positionV>
              <wp:extent cx="935990" cy="30924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519582" name="Cleber_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5990" cy="309245"/>
                      </a:xfrm>
                      <a:prstGeom prst="rect">
                        <a:avLst/>
                      </a:prstGeom>
                    </pic:spPr>
                  </pic:pic>
                </a:graphicData>
              </a:graphic>
              <wp14:sizeRelH relativeFrom="page">
                <wp14:pctWidth>0</wp14:pctWidth>
              </wp14:sizeRelH>
              <wp14:sizeRelV relativeFrom="page">
                <wp14:pctHeight>0</wp14:pctHeight>
              </wp14:sizeRelV>
            </wp:anchor>
          </w:drawing>
        </w:r>
      </w:p>
    </w:sdtContent>
  </w:sdt>
  <w:p w:rsidR="003B330A" w:rsidRDefault="003B330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0000000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geSetUp" w:val="10001|10001"/>
  </w:docVars>
  <w:rsids>
    <w:rsidRoot w:val="00CB1C4B"/>
    <w:rsid w:val="0011765A"/>
    <w:rsid w:val="00175D47"/>
    <w:rsid w:val="00190D5C"/>
    <w:rsid w:val="001D28C8"/>
    <w:rsid w:val="00250CFA"/>
    <w:rsid w:val="002664C4"/>
    <w:rsid w:val="002C32CF"/>
    <w:rsid w:val="00300CC6"/>
    <w:rsid w:val="00391F9A"/>
    <w:rsid w:val="003B330A"/>
    <w:rsid w:val="003C6FEA"/>
    <w:rsid w:val="00413D4F"/>
    <w:rsid w:val="0077318E"/>
    <w:rsid w:val="00875517"/>
    <w:rsid w:val="008C0DC6"/>
    <w:rsid w:val="00CB1C4B"/>
    <w:rsid w:val="00D52914"/>
    <w:rsid w:val="00D754AC"/>
    <w:rsid w:val="00FC3C04"/>
    <w:rsid w:val="00FE3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7A637D-EE83-4C3B-9C24-E552B6A4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Plattetekst"/>
    <w:link w:val="Kop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Plattetekst"/>
    <w:link w:val="Kop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Plattetekst"/>
    <w:link w:val="Kop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Plattetekst"/>
    <w:link w:val="Kop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Plattetekst"/>
    <w:link w:val="Kop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Plattetekst"/>
    <w:link w:val="Kop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Plattetekst"/>
    <w:link w:val="Kop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Plattetekst"/>
    <w:link w:val="Kop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Plattetekst"/>
    <w:link w:val="Kop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qFormat/>
    <w:pPr>
      <w:spacing w:before="180" w:after="180"/>
    </w:pPr>
  </w:style>
  <w:style w:type="paragraph" w:customStyle="1" w:styleId="FirstParagraph">
    <w:name w:val="First Paragraph"/>
    <w:basedOn w:val="Plattetekst"/>
    <w:next w:val="Plattetekst"/>
    <w:qFormat/>
  </w:style>
  <w:style w:type="paragraph" w:customStyle="1" w:styleId="Compact">
    <w:name w:val="Compact"/>
    <w:basedOn w:val="Plattetekst"/>
    <w:qFormat/>
    <w:pPr>
      <w:spacing w:before="36" w:after="36"/>
    </w:pPr>
  </w:style>
  <w:style w:type="paragraph" w:styleId="Titel">
    <w:name w:val="Title"/>
    <w:basedOn w:val="Standaard"/>
    <w:next w:val="Plattetekst"/>
    <w:link w:val="Titel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0FD9"/>
    <w:rPr>
      <w:rFonts w:asciiTheme="majorHAnsi" w:eastAsiaTheme="majorEastAsia" w:hAnsiTheme="majorHAnsi" w:cstheme="majorBidi"/>
      <w:spacing w:val="-10"/>
      <w:kern w:val="28"/>
      <w:sz w:val="56"/>
      <w:szCs w:val="56"/>
    </w:rPr>
  </w:style>
  <w:style w:type="paragraph" w:styleId="Ondertitel">
    <w:name w:val="Subtitle"/>
    <w:basedOn w:val="Titel"/>
    <w:next w:val="Plattetekst"/>
    <w:link w:val="OndertitelChar"/>
    <w:uiPriority w:val="11"/>
    <w:qFormat/>
    <w:rsid w:val="00A10FD9"/>
    <w:pPr>
      <w:numPr>
        <w:ilvl w:val="1"/>
      </w:numPr>
    </w:pPr>
    <w:rPr>
      <w:spacing w:val="15"/>
      <w:sz w:val="28"/>
      <w:szCs w:val="28"/>
    </w:rPr>
  </w:style>
  <w:style w:type="character" w:customStyle="1" w:styleId="OndertitelChar">
    <w:name w:val="Ondertitel Char"/>
    <w:basedOn w:val="Standaardalinea-lettertype"/>
    <w:link w:val="Ondertitel"/>
    <w:uiPriority w:val="11"/>
    <w:rsid w:val="00A10FD9"/>
    <w:rPr>
      <w:rFonts w:eastAsiaTheme="majorEastAsia" w:cstheme="majorBidi"/>
      <w:color w:val="595959" w:themeColor="text1" w:themeTint="A6"/>
      <w:spacing w:val="15"/>
      <w:sz w:val="28"/>
      <w:szCs w:val="28"/>
    </w:rPr>
  </w:style>
  <w:style w:type="paragraph" w:customStyle="1" w:styleId="Author">
    <w:name w:val="Author"/>
    <w:next w:val="Plattetekst"/>
    <w:qFormat/>
    <w:pPr>
      <w:keepNext/>
      <w:keepLines/>
      <w:jc w:val="center"/>
    </w:pPr>
  </w:style>
  <w:style w:type="paragraph" w:styleId="Datum">
    <w:name w:val="Date"/>
    <w:next w:val="Plattetekst"/>
    <w:qFormat/>
    <w:pPr>
      <w:keepNext/>
      <w:keepLines/>
      <w:jc w:val="center"/>
    </w:pPr>
  </w:style>
  <w:style w:type="paragraph" w:customStyle="1" w:styleId="AbstractTitle">
    <w:name w:val="Abstract Title"/>
    <w:basedOn w:val="Standaard"/>
    <w:next w:val="Abstract"/>
    <w:qFormat/>
    <w:pPr>
      <w:keepNext/>
      <w:keepLines/>
      <w:spacing w:before="300" w:after="0"/>
      <w:jc w:val="center"/>
    </w:pPr>
    <w:rPr>
      <w:b/>
      <w:sz w:val="20"/>
      <w:szCs w:val="20"/>
    </w:rPr>
  </w:style>
  <w:style w:type="paragraph" w:customStyle="1" w:styleId="Abstract">
    <w:name w:val="Abstract"/>
    <w:basedOn w:val="Standaard"/>
    <w:next w:val="Plattetekst"/>
    <w:qFormat/>
    <w:pPr>
      <w:keepNext/>
      <w:keepLines/>
      <w:spacing w:before="100" w:after="300"/>
    </w:pPr>
    <w:rPr>
      <w:sz w:val="20"/>
      <w:szCs w:val="20"/>
    </w:rPr>
  </w:style>
  <w:style w:type="paragraph" w:styleId="Bibliografie">
    <w:name w:val="Bibliography"/>
    <w:basedOn w:val="Standaard"/>
    <w:qFormat/>
  </w:style>
  <w:style w:type="character" w:customStyle="1" w:styleId="Kop1Char">
    <w:name w:val="Kop 1 Char"/>
    <w:basedOn w:val="Standaardalinea-lettertype"/>
    <w:link w:val="Kop1"/>
    <w:uiPriority w:val="9"/>
    <w:rsid w:val="00A10F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0F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0F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0F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0F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0F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0F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0FD9"/>
    <w:rPr>
      <w:rFonts w:eastAsiaTheme="majorEastAsia" w:cstheme="majorBidi"/>
      <w:color w:val="272727" w:themeColor="text1" w:themeTint="D8"/>
    </w:rPr>
  </w:style>
  <w:style w:type="paragraph" w:styleId="Bloktekst">
    <w:name w:val="Block Text"/>
    <w:basedOn w:val="Plattetekst"/>
    <w:next w:val="Plattetekst"/>
    <w:uiPriority w:val="9"/>
    <w:unhideWhenUsed/>
    <w:qFormat/>
    <w:pPr>
      <w:spacing w:before="100" w:after="100"/>
      <w:ind w:left="480" w:right="480"/>
    </w:pPr>
  </w:style>
  <w:style w:type="paragraph" w:customStyle="1" w:styleId="Voetnoottekst1">
    <w:name w:val="Voetnoottekst1"/>
    <w:basedOn w:val="Standaard"/>
    <w:uiPriority w:val="9"/>
    <w:unhideWhenUsed/>
    <w:qFormat/>
  </w:style>
  <w:style w:type="paragraph" w:customStyle="1" w:styleId="FootnoteBlockText">
    <w:name w:val="Footnote Block Text"/>
    <w:basedOn w:val="Voetnoottekst1"/>
    <w:next w:val="Voetnoottekst1"/>
    <w:uiPriority w:val="9"/>
    <w:unhideWhenUsed/>
    <w:qFormat/>
    <w:pPr>
      <w:spacing w:before="100" w:after="100"/>
      <w:ind w:left="480" w:right="480"/>
    </w:pPr>
  </w:style>
  <w:style w:type="paragraph" w:customStyle="1" w:styleId="DefinitionTerm">
    <w:name w:val="Definition Term"/>
    <w:basedOn w:val="Standaard"/>
    <w:next w:val="Definition"/>
    <w:pPr>
      <w:keepNext/>
      <w:keepLines/>
      <w:spacing w:after="0"/>
    </w:pPr>
    <w:rPr>
      <w:b/>
    </w:rPr>
  </w:style>
  <w:style w:type="paragraph" w:customStyle="1" w:styleId="Definition">
    <w:name w:val="Definition"/>
    <w:basedOn w:val="Standaard"/>
  </w:style>
  <w:style w:type="paragraph" w:customStyle="1" w:styleId="Bijschrift1">
    <w:name w:val="Bijschrift1"/>
    <w:basedOn w:val="Standaard"/>
    <w:link w:val="BodyTextChar"/>
    <w:pPr>
      <w:spacing w:after="120"/>
    </w:pPr>
    <w:rPr>
      <w:i/>
    </w:rPr>
  </w:style>
  <w:style w:type="paragraph" w:customStyle="1" w:styleId="TableCaption">
    <w:name w:val="Table Caption"/>
    <w:basedOn w:val="Bijschrift1"/>
    <w:pPr>
      <w:keepNext/>
    </w:pPr>
  </w:style>
  <w:style w:type="paragraph" w:customStyle="1" w:styleId="ImageCaption">
    <w:name w:val="Image Caption"/>
    <w:basedOn w:val="Bijschrift1"/>
  </w:style>
  <w:style w:type="paragraph" w:customStyle="1" w:styleId="Figure">
    <w:name w:val="Figure"/>
    <w:basedOn w:val="Standaard"/>
  </w:style>
  <w:style w:type="paragraph" w:customStyle="1" w:styleId="CaptionedFigure">
    <w:name w:val="Captioned Figure"/>
    <w:basedOn w:val="Figure"/>
    <w:pPr>
      <w:keepNext/>
    </w:pPr>
  </w:style>
  <w:style w:type="character" w:customStyle="1" w:styleId="BodyTextChar">
    <w:name w:val="Body Text Char"/>
    <w:basedOn w:val="Standaardalinea-lettertype"/>
    <w:link w:val="Bijschrift1"/>
  </w:style>
  <w:style w:type="character" w:customStyle="1" w:styleId="VerbatimChar">
    <w:name w:val="Verbatim Char"/>
    <w:basedOn w:val="BodyTextChar"/>
    <w:link w:val="SourceCode"/>
    <w:rPr>
      <w:rFonts w:ascii="Consolas" w:hAnsi="Consolas"/>
      <w:sz w:val="22"/>
    </w:rPr>
  </w:style>
  <w:style w:type="character" w:customStyle="1" w:styleId="SectionNumber">
    <w:name w:val="Section Number"/>
    <w:basedOn w:val="BodyTextChar"/>
  </w:style>
  <w:style w:type="character" w:customStyle="1" w:styleId="Voetnootmarkering1">
    <w:name w:val="Voetnootmarkering1"/>
    <w:basedOn w:val="BodyTextChar"/>
    <w:rPr>
      <w:vertAlign w:val="superscript"/>
    </w:rPr>
  </w:style>
  <w:style w:type="character" w:styleId="Hyperlink">
    <w:name w:val="Hyperlink"/>
    <w:basedOn w:val="BodyTextChar"/>
    <w:rPr>
      <w:color w:val="156082" w:themeColor="accent1"/>
    </w:rPr>
  </w:style>
  <w:style w:type="paragraph" w:styleId="Kopvaninhoudsopgave">
    <w:name w:val="TOC Heading"/>
    <w:basedOn w:val="Kop1"/>
    <w:next w:val="Plattetekst"/>
    <w:uiPriority w:val="39"/>
    <w:unhideWhenUsed/>
    <w:qFormat/>
    <w:pPr>
      <w:spacing w:before="240" w:line="259" w:lineRule="auto"/>
      <w:outlineLvl w:val="9"/>
    </w:pPr>
  </w:style>
  <w:style w:type="paragraph" w:customStyle="1" w:styleId="SourceCode">
    <w:name w:val="Source Code"/>
    <w:basedOn w:val="Standa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Koptekst">
    <w:name w:val="header"/>
    <w:basedOn w:val="Standaard"/>
    <w:link w:val="KoptekstChar"/>
    <w:unhideWhenUsed/>
    <w:rsid w:val="003B330A"/>
    <w:pPr>
      <w:tabs>
        <w:tab w:val="center" w:pos="4536"/>
        <w:tab w:val="right" w:pos="9072"/>
      </w:tabs>
      <w:spacing w:after="0"/>
    </w:pPr>
  </w:style>
  <w:style w:type="character" w:customStyle="1" w:styleId="KoptekstChar">
    <w:name w:val="Koptekst Char"/>
    <w:basedOn w:val="Standaardalinea-lettertype"/>
    <w:link w:val="Koptekst"/>
    <w:rsid w:val="003B330A"/>
  </w:style>
  <w:style w:type="paragraph" w:styleId="Voettekst">
    <w:name w:val="footer"/>
    <w:basedOn w:val="Standaard"/>
    <w:link w:val="VoettekstChar"/>
    <w:uiPriority w:val="99"/>
    <w:unhideWhenUsed/>
    <w:rsid w:val="003B330A"/>
    <w:pPr>
      <w:tabs>
        <w:tab w:val="center" w:pos="4536"/>
        <w:tab w:val="right" w:pos="9072"/>
      </w:tabs>
      <w:spacing w:after="0"/>
    </w:pPr>
  </w:style>
  <w:style w:type="character" w:customStyle="1" w:styleId="VoettekstChar">
    <w:name w:val="Voettekst Char"/>
    <w:basedOn w:val="Standaardalinea-lettertype"/>
    <w:link w:val="Voettekst"/>
    <w:uiPriority w:val="99"/>
    <w:rsid w:val="003B330A"/>
  </w:style>
  <w:style w:type="paragraph" w:styleId="Ballontekst">
    <w:name w:val="Balloon Text"/>
    <w:basedOn w:val="Standaard"/>
    <w:link w:val="BallontekstChar"/>
    <w:semiHidden/>
    <w:unhideWhenUsed/>
    <w:rsid w:val="00391F9A"/>
    <w:pPr>
      <w:spacing w:after="0"/>
    </w:pPr>
    <w:rPr>
      <w:rFonts w:ascii="Segoe UI" w:hAnsi="Segoe UI" w:cs="Segoe UI"/>
      <w:sz w:val="18"/>
      <w:szCs w:val="18"/>
    </w:rPr>
  </w:style>
  <w:style w:type="character" w:customStyle="1" w:styleId="BallontekstChar">
    <w:name w:val="Ballontekst Char"/>
    <w:basedOn w:val="Standaardalinea-lettertype"/>
    <w:link w:val="Ballontekst"/>
    <w:semiHidden/>
    <w:rsid w:val="00391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805C814DC749CFAE63C2A96A8925D7"/>
        <w:category>
          <w:name w:val="Algemeen"/>
          <w:gallery w:val="placeholder"/>
        </w:category>
        <w:types>
          <w:type w:val="bbPlcHdr"/>
        </w:types>
        <w:behaviors>
          <w:behavior w:val="content"/>
        </w:behaviors>
        <w:guid w:val="{4408F462-0D80-4CDD-8B8E-4DE43ADA38BE}"/>
      </w:docPartPr>
      <w:docPartBody>
        <w:p w:rsidR="003C6FEA" w:rsidRDefault="003C6FEA"/>
      </w:docPartBody>
    </w:docPart>
    <w:docPart>
      <w:docPartPr>
        <w:name w:val="18B6E5223C6F4B4A8E8A2ACE9858F23D"/>
        <w:category>
          <w:name w:val="Algemeen"/>
          <w:gallery w:val="placeholder"/>
        </w:category>
        <w:types>
          <w:type w:val="bbPlcHdr"/>
        </w:types>
        <w:behaviors>
          <w:behavior w:val="content"/>
        </w:behaviors>
        <w:guid w:val="{CFAA770D-1F62-4C75-9709-AC2FEF8ABFA2}"/>
      </w:docPartPr>
      <w:docPartBody>
        <w:p w:rsidR="003C6FEA" w:rsidRDefault="003C6FEA"/>
      </w:docPartBody>
    </w:docPart>
    <w:docPart>
      <w:docPartPr>
        <w:name w:val="7C09D1B1A6A046719FC00785F19404D4"/>
        <w:category>
          <w:name w:val="Algemeen"/>
          <w:gallery w:val="placeholder"/>
        </w:category>
        <w:types>
          <w:type w:val="bbPlcHdr"/>
        </w:types>
        <w:behaviors>
          <w:behavior w:val="content"/>
        </w:behaviors>
        <w:guid w:val="{491F9932-ED1F-440E-A32F-25B64D188F2C}"/>
      </w:docPartPr>
      <w:docPartBody>
        <w:p w:rsidR="003C6FEA" w:rsidRDefault="003C6F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EA"/>
    <w:rsid w:val="003C6F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738</Words>
  <Characters>4064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Preserve</vt:lpstr>
    </vt:vector>
  </TitlesOfParts>
  <Manager>Preserve</Manager>
  <Company>Preserve</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Preserve</dc:title>
  <dc:subject>Preserve</dc:subject>
  <dc:creator>Preserve</dc:creator>
  <cp:keywords>Preserve</cp:keywords>
  <dc:description>Preserve</dc:description>
  <cp:lastModifiedBy>Marian Hazenberg</cp:lastModifiedBy>
  <cp:revision>3</cp:revision>
  <dcterms:created xsi:type="dcterms:W3CDTF">2026-02-11T11:00:00Z</dcterms:created>
  <dcterms:modified xsi:type="dcterms:W3CDTF">2026-02-11T17:48:00Z</dcterms:modified>
  <cp:category>Preserve</cp:category>
  <cp:contentStatus>Preserve</cp:contentStatus>
</cp:coreProperties>
</file>